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NW_33951 (Nordrhein-Westfalen) — Inkrafttreten, Übergangsregelung, Außerkrafttreten</w:t>
      </w:r>
    </w:p>
    <w:p>
      <w:r>
        <w:rPr>
          <w:color w:val="555555"/>
          <w:sz w:val="18"/>
        </w:rPr>
        <w:t xml:space="preserve">UStAufteilVO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1. Januar 2024 in Kraft und vorbehaltlich der Regelung in Absatz 2 mit Ablauf des 31. Januar 2027 außer Kraft.</w:t>
      </w:r>
    </w:p>
    <w:p>
      <w:r>
        <w:t xml:space="preserve">(2) Für den Fall, dass die Rechtsverordnung des Bundes über die Festsetzung der Länderschlüsselzahlen und über die Ermittlung der Schlüsselzahlen für die Aufteilung des Gemeindeanteils an der Umsatzsteuer nach § 5a des Gemeindefinanzreformgesetzes für die Jahre 2027, 2028 und 2029 bis zum 1. Januar 2027 noch nicht in Kraft getreten ist, erfolgt die Aufteilung der Zahlungen gemäß § 2 weiterhin nach den in der Anlage festgesetzten Schlüsselzahlen. Die Zahlungen sind mit der nächstmöglichen ordentlichen Zahlung zu verrechnen.</w:t>
      </w:r>
    </w:p>
    <w:p>
      <w:r>
        <w:t xml:space="preserve">Die Landesregierung Nordrhein-Westfalen</w:t>
      </w:r>
    </w:p>
    <w:p>
      <w:r>
        <w:t xml:space="preserve">Der Ministerpräsident</w:t>
      </w:r>
    </w:p>
    <w:p>
      <w:r>
        <w:t xml:space="preserve">Der Minister der Finanzen</w:t>
      </w:r>
    </w:p>
    <w:p>
      <w:r>
        <w:t xml:space="preserve">Für die Ministerin für Heimat, Kommunales, Bau und Digitalisierung</w:t>
      </w:r>
    </w:p>
    <w:p>
      <w:r>
        <w:t xml:space="preserve">Die Ministerin für Kultur und Wissenschaft</w:t>
      </w:r>
    </w:p>
    <w:p>
      <w:r>
        <w:rPr>
          <w:color w:val="555555"/>
          <w:sz w:val="17"/>
        </w:rPr>
        <w:t xml:space="preserve">Zitiervorschlag: § 6 NW_33951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https://recht.nulegal.eu/gesetze/NW_33951/6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