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NW_33949 (Nordrhein-Westfalen) — Inkrafttreten, Außerkrafttreten</w:t>
      </w:r>
    </w:p>
    <w:p>
      <w:r>
        <w:rPr>
          <w:color w:val="555555"/>
          <w:sz w:val="18"/>
        </w:rPr>
        <w:t xml:space="preserve">Verordnung zur Anpassung der Verwaltungskostenpauschale nach § 7 Absatz 1 Satz 2 des Fünften Gesetzes zur Ausführung des Kinder- und Jugendhilfegesetzes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2024 in Kraft und am 31. Dezember 2026 außer Kraft.</w:t>
      </w:r>
    </w:p>
    <w:p>
      <w:r>
        <w:t xml:space="preserve">Die Ministerin für Kinder, Jugend, Familie, Gleichstellung,</w:t>
      </w:r>
    </w:p>
    <w:p>
      <w:r>
        <w:t xml:space="preserve">Flucht und Integration des Landes Nordrhein-Westfalen</w:t>
      </w:r>
    </w:p>
    <w:p>
      <w:r>
        <w:t xml:space="preserve">Der Minister der Finanzen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NW_33949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