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NW_33940 (Nordrhein-Westfalen) — Fortbildungsgrundsätze</w:t>
      </w:r>
    </w:p>
    <w:p>
      <w:r>
        <w:rPr>
          <w:color w:val="555555"/>
          <w:sz w:val="18"/>
        </w:rPr>
        <w:t xml:space="preserve">Fortbildungsprüfungsverordnung Krankenkassenwirtin, Krankenkassenfachwirt –FPVO-KKFW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Fortbildung wird berufsbegleitend nach den Erfordernissen beruflicher Erwachsenenbildung organisiert.</w:t>
      </w:r>
    </w:p>
    <w:p>
      <w:r>
        <w:t xml:space="preserve">(2) Die Fortbildung umfasst Präsenzphasen in einer Fortbildungseinrichtung, digitale Formate sowie Selbstlernphasen und findet ihre Ergänzung in der beruflichen Praxis.</w:t>
      </w:r>
    </w:p>
    <w:p>
      <w:r>
        <w:rPr>
          <w:color w:val="555555"/>
          <w:sz w:val="17"/>
        </w:rPr>
        <w:t xml:space="preserve">Zitiervorschlag: § 3 NW_33940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https://recht.nulegal.eu/gesetze/NW_33940/3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