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NW_33940 (Nordrhein-Westfalen) — Rücktritt, Nichtteilnahme</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Prüfling kann bis zum Beginn der Prüfung aus wichtigem Grund durch schriftliche Erklärung von der Prüfung zurücktreten. In diesem Falle gilt die Prüfung als nicht abgelegt. Hat ein Prüfling ohne vorherige schriftliche Erklärung an der Prüfung nicht teilgenommen, gilt die Prüfung als nicht bestanden. Dies gilt nicht, wenn der Prüfling aus wichtigem Grund an der Teilnahme oder an der rechtzeitigen Abgabe der Erklärung gehindert war.</w:t>
      </w:r>
    </w:p>
    <w:p>
      <w:r>
        <w:t xml:space="preserve">(2) Bricht ein Prüfling aus wichtigem Grund die Prüfung ab, gilt die Prüfung als nicht abgelegt; in sich abgeschlossene Prüfungsleistungen können anerkannt werden. Liegt ein wichtiger Grund für den Abbruch der Prüfung nicht vor, gilt die Prüfung als nicht bestanden.</w:t>
      </w:r>
    </w:p>
    <w:p>
      <w:r>
        <w:t xml:space="preserve">(3) Nimmt ein Prüfling ohne wichtigen Grund an einzelnen Prüfungsarbeiten nicht teil, sind diese mit dem Punktwert Null zu bewerten. Liegt für die Nichtteilnahme ein wichtiger Grund vor, bestimmt der Prüfungsausschuss im Benehmen mit der zuständigen Stelle, wann die versäumten Prüfungsarbeiten nachzuholen sind.</w:t>
      </w:r>
    </w:p>
    <w:p>
      <w:r>
        <w:t xml:space="preserve">(4) Die Entscheidung über das Vorliegen eines wichtigen Grundes und über den Umfang der anzuerkennenden Prüfungsleistungen trifft der Prüfungsausschuss nach Anhören des Prüflings.</w:t>
      </w:r>
    </w:p>
    <w:p>
      <w:r>
        <w:t xml:space="preserve">(5) Versäumt der Prüfling aus einem wichtigen Grund die mündliche Prüfung ganz oder teilweise und weist er den wichtigen Grund unverzüglich nach, bei einer Erkrankung durch ein ärztliches Attest, ist die mündliche Prüfung so bald wie möglich nachzuholen. Liegt ein wichtiger Grund nicht vor oder wird dieser nicht unverzüglich nachgewiesen, gilt die Prüfung als nicht bestanden. Diese Feststellung trifft der Prüfungsausschuss nach Anhören des Prüflings. Die zuständige Stelle erteilt darüber einen schriftlichen Bescheid.</w:t>
      </w:r>
    </w:p>
    <w:p>
      <w:r>
        <w:rPr>
          <w:color w:val="555555"/>
          <w:sz w:val="17"/>
        </w:rPr>
        <w:t xml:space="preserve">Zitiervorschlag: § 28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