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NW_33940 (Nordrhein-Westfalen) — Geltungsbereich</w:t>
      </w:r>
    </w:p>
    <w:p>
      <w:r>
        <w:rPr>
          <w:color w:val="555555"/>
          <w:sz w:val="18"/>
        </w:rPr>
        <w:t xml:space="preserve">Fortbildungsprüfungsverordnung Krankenkassenwirtin, Krankenkassenfachwirt –FPVO-KKFW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für die Durchführung der Fortbildungsprüfung zur Krankenkassenfachwirtin, zum Krankassenfachwirt, zur Geprüften Berufsspezialistin und zum Geprüften Berufsspezialisten in der gesetzlichen Krankenversicherung bei den landesunmittelbaren Krankenkassen.</w:t>
      </w:r>
    </w:p>
    <w:p>
      <w:r>
        <w:t xml:space="preserve">Teil 2</w:t>
      </w:r>
    </w:p>
    <w:p>
      <w:r>
        <w:t xml:space="preserve">Fortbildung</w:t>
      </w:r>
    </w:p>
    <w:p>
      <w:r>
        <w:rPr>
          <w:color w:val="555555"/>
          <w:sz w:val="17"/>
        </w:rPr>
        <w:t xml:space="preserve">Zitiervorschlag: § 1 NW_33940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https://recht.nulegal.eu/gesetze/NW_33940/1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