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NW_33875 (Nordrhein-Westfalen)</w:t>
      </w:r>
    </w:p>
    <w:p>
      <w:r>
        <w:rPr>
          <w:color w:val="555555"/>
          <w:sz w:val="18"/>
        </w:rPr>
        <w:t xml:space="preserve">Datenschutzsatzung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August 2023</w:t>
      </w:r>
    </w:p>
    <w:p>
      <w:r>
        <w:t xml:space="preserve">Aufgrund von § 49 Absatz 5 des Landesmediengesetzes Nordrhein-Westfalen (LMG NRW) vom 2. Juli 2002, zuletzt geändert durch Artikel 3 des Gesetzes vom 13. April 2022 (GV. NRW. S. 504), erlässt die Landesanstalt für Medien NRW folgende Satzung:</w:t>
      </w:r>
    </w:p>
    <w:p>
      <w:r>
        <w:rPr>
          <w:color w:val="555555"/>
          <w:sz w:val="17"/>
        </w:rPr>
        <w:t xml:space="preserve">Zitiervorschlag: Volltext NW_33875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