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NW_33875 (Nordrhein-Westfalen) — Grundsätze der Vergütung</w:t>
      </w:r>
    </w:p>
    <w:p>
      <w:r>
        <w:rPr>
          <w:color w:val="555555"/>
          <w:sz w:val="18"/>
        </w:rPr>
        <w:t xml:space="preserve">Datenschutzsatzung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Medienkommission legt die Vergütung der Datenschutzbeauftragten/des Datenschutzbeauftragten für die Dauer der Amtszeit unter Berücksichtigung ihrer/seiner beruflichen Erfahrung in Anlehnung an die Vergütungsstruktur der Mitarbeiter der Landesanstalt für Medien NRW fest.</w:t>
      </w:r>
    </w:p>
    <w:p>
      <w:r>
        <w:t xml:space="preserve">(2) Die Vergütung für Mitarbeiter der Datenschutzbeauftragten/des Datenschutzbeauftragten richtet sich nach den für die Mitarbeiter der Landesanstalt für Medien NRW allgemein geltenden Grundsätzen.</w:t>
      </w:r>
    </w:p>
    <w:p>
      <w:r>
        <w:rPr>
          <w:color w:val="555555"/>
          <w:sz w:val="17"/>
        </w:rPr>
        <w:t xml:space="preserve">Zitiervorschlag: § 4 NW_33875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https://recht.nulegal.eu/gesetze/NW_33875/4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