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NW_33856 (Nordrhein-Westfalen) — Inkrafttreten</w:t>
      </w:r>
    </w:p>
    <w:p>
      <w:r>
        <w:rPr>
          <w:color w:val="555555"/>
          <w:sz w:val="18"/>
        </w:rPr>
        <w:t xml:space="preserve">ZustVO StiftG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mit Wirkung vom 1. Juli 2023 in Kraft. Gleichzeitig tritt die Verordnung über Zuständigkeiten nach dem Stiftungsgesetz für das Land Nordrhein-Westfalen vom 14. Juli 2020 (GV. NRW. S. 722) außer Kraft.</w:t>
      </w:r>
    </w:p>
    <w:p>
      <w:r>
        <w:t xml:space="preserve">Der Minister des Innern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2 NW_33856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https://recht.nulegal.eu/gesetze/NW_33856/2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