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NW_33809 (Nordrhein-Westfalen) — Behandlung von Großen Anfragen</w:t>
      </w:r>
    </w:p>
    <w:p>
      <w:r>
        <w:rPr>
          <w:color w:val="555555"/>
          <w:sz w:val="18"/>
        </w:rPr>
        <w:t xml:space="preserve">Geschäftsordnung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Präsidentin bzw. der Präsident teilt der Landesregierung unverzüglich die Große Anfrage mit und fordert sie zur schriftlichen Beantwortung innerhalb eines Vierteljahres auf.</w:t>
      </w:r>
    </w:p>
    <w:p>
      <w:r>
        <w:t xml:space="preserve">(2) Nach Eingang der schriftlichen Antwort der Landesregierung findet eine Beratung statt, wenn eine Fraktion oder ein Viertel der Mitglieder des Landtags es beantragen.</w:t>
      </w:r>
    </w:p>
    <w:p>
      <w:r>
        <w:t xml:space="preserve">(3) Antwortet die Landesregierung nicht innerhalb der Beantwortungsfrist, so setzt die Präsidentin bzw. der Präsident die Große Anfrage auf Antrag der Fragestellerin bzw. der Fragesteller auf die Tagesordnung der übernächsten Sitzung.</w:t>
      </w:r>
    </w:p>
    <w:p>
      <w:r>
        <w:t xml:space="preserve">(4) Zu Beginn der Beratung erhält zunächst die Fragestellerin bzw. erhalten die Fragesteller das Wort.</w:t>
      </w:r>
    </w:p>
    <w:p>
      <w:r>
        <w:rPr>
          <w:color w:val="555555"/>
          <w:sz w:val="17"/>
        </w:rPr>
        <w:t xml:space="preserve">Zitiervorschlag: § 90 NW_33809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https://recht.nulegal.eu/gesetze/NW_33809/90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