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NW_33809 (Nordrhein-Westfalen) — Zusammensetzung und Einberufung des Ältestenrats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Ältestenrat besteht aus der Präsidentin bzw. dem Präsidenten, den Vizepräsidentinnen bzw. Vizepräsidenten und weiteren Mitgliedern nach § 13. Die Zahl seiner Mitglieder wird durch Beschluss des Landtags bestimmt. Jede Fraktion ist berechtigt, im Ältestenrat vertreten zu sein. Steht einer Gruppe nach § 13 kein Sitz im Ältestenrat zu, nimmt die Gruppe mit einem beratenden Mitglied an den Sitzungen teil.</w:t>
      </w:r>
    </w:p>
    <w:p>
      <w:r>
        <w:t xml:space="preserve">(2) Die Präsidentin bzw. der Präsident beruft den Ältestenrat ein und leitet seine Verhandlungen. Der Ältestenrat muss einberufen werden, wenn zwei seiner Mitglieder oder eine Fraktion es verlangen.</w:t>
      </w:r>
    </w:p>
    <w:p>
      <w:r>
        <w:t xml:space="preserve">(3) Zu seinen Beratungen muss mehr als die Hälfte der Mitglieder anwesend sein.</w:t>
      </w:r>
    </w:p>
    <w:p>
      <w:r>
        <w:rPr>
          <w:color w:val="555555"/>
          <w:sz w:val="17"/>
        </w:rPr>
        <w:t xml:space="preserve">Zitiervorschlag: § 9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