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NW_33809 (Nordrhein-Westfalen) — Einbringung von Großen Anfragen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Große Anfragen an die Landesregierung sind der Präsidentin bzw. dem Präsidenten schriftlich einzureichen. Sie müssen kurz, sachlich und bestimmt gefasst sein und können mit einer kurzen Begründung versehen werden.</w:t>
      </w:r>
    </w:p>
    <w:p>
      <w:r>
        <w:t xml:space="preserve">(2) Frageberechtigt sind eine Fraktion oder sieben Mitglieder des Landtags.</w:t>
      </w:r>
    </w:p>
    <w:p>
      <w:r>
        <w:rPr>
          <w:color w:val="555555"/>
          <w:sz w:val="17"/>
        </w:rPr>
        <w:t xml:space="preserve">Zitiervorschlag: § 89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