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NW_33809 (Nordrhein-Westfalen) — Dringlichkeitsanträge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Dringlichkeitsanträge sind bevorzugt auf die Tagesordnung der nächsten Plenarsitzung des Landtags zu setzen. Als dringlich gelten:</w:t>
      </w:r>
    </w:p>
    <w:p>
      <w:r>
        <w:t xml:space="preserve">1. Anträge, die der Ministerpräsidentin bzw. dem Ministerpräsidenten das Misstrauen aussprechen,</w:t>
      </w:r>
    </w:p>
    <w:p>
      <w:r>
        <w:t xml:space="preserve">2. Anträge im Falle des Artikels 73 der Landesverfassung,</w:t>
      </w:r>
    </w:p>
    <w:p>
      <w:r>
        <w:t xml:space="preserve">3. Anträge auf Einsetzung von Untersuchungsausschüssen,</w:t>
      </w:r>
    </w:p>
    <w:p>
      <w:r>
        <w:t xml:space="preserve">4. Anträge auf Aufhebung der Immunität,</w:t>
      </w:r>
    </w:p>
    <w:p>
      <w:r>
        <w:t xml:space="preserve">5. Anträge und Anfragen, die der Ältestenrat für dringlich erklärt.</w:t>
      </w:r>
    </w:p>
    <w:p>
      <w:r>
        <w:t xml:space="preserve">XIII.</w:t>
      </w:r>
    </w:p>
    <w:p>
      <w:r>
        <w:t xml:space="preserve">Große und Kleine Anfragen, Fragestunde und Aktuelle Stunde</w:t>
      </w:r>
    </w:p>
    <w:p>
      <w:r>
        <w:rPr>
          <w:color w:val="555555"/>
          <w:sz w:val="17"/>
        </w:rPr>
        <w:t xml:space="preserve">Zitiervorschlag: § 88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https://recht.nulegal.eu/gesetze/NW_33809/88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