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NW_33809 (Nordrhein-Westfalen) — Anträge auf Entschließungen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auf Entschließungen enthalten Meinungen, Anregungen, Empfehlungen oder Ersuchen, die mit einem Beratungsgegenstand im Zusammenhang stehen. Jedes Mitglied des Landtags, jede Fraktion und jede Gruppe hat das Recht, Anträge auf Entschließungen zu stellen, solange die Beratung des Gegenstandes, auf den sie sich beziehen, noch nicht geschlossen ist. Sie müssen schriftlich abgefasst sein und können verlesen werden, wenn sie noch nicht verteilt sind. Die Abstimmung erfolgt bei Entschließungsanträgen zu Gesetzentwürfen nach deren Schlussabstimmung, in den übrigen Fällen nach der Abstimmung oder der Beratung. Anträge auf Entschließungen können nicht an einen Ausschuss überwiesen werden, es sei denn, der Beratungsgegenstand wird im Ausschuss abschließend behandelt.</w:t>
      </w:r>
    </w:p>
    <w:p>
      <w:r>
        <w:t xml:space="preserve">(2) Änderungsanträge zu Entschließungsanträgen sind nur mit Zustimmung der Antragstellerin bzw. des Antragstellers zulässig.</w:t>
      </w:r>
    </w:p>
    <w:p>
      <w:r>
        <w:rPr>
          <w:color w:val="555555"/>
          <w:sz w:val="17"/>
        </w:rPr>
        <w:t xml:space="preserve">Zitiervorschlag: § 81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