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NW_33809 (Nordrhein-Westfalen) — Dritte Lesung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dritte Lesung erfolgt bei Gesetzentwürfen zur Änderung der Verfassung (Artikel 69 Landesverfassung), zum Haushaltsgesetz, zum Gemeindefinanzierungsgesetz sowie zu Nachträgen hierzu. Im Übrigen findet eine dritte Lesung auf Antrag einer Fraktion oder eines Viertels der Mitglieder des Landtags statt. Dieser Antrag muss vor Schluss der Beratung der zweiten Lesung schriftlich bei der Präsidentin bzw. dem Präsidenten des Landtags eingereicht werden.</w:t>
      </w:r>
    </w:p>
    <w:p>
      <w:r>
        <w:t xml:space="preserve">(2) Zur Vorbereitung der dritten Lesung kann der Landtag die Überweisung des Gesetzentwurfs an einen oder mehrere Ausschüsse beschließen. Die dritte Lesung kann auch unmittelbar nach Schluss der zweiten Lesung erfolgen, wenn nicht eine Fraktion oder ein Viertel der Mitglieder des Landtags widerspricht; in diesem Fall findet die dritte Lesung frühestens am nächsten Sitzungstag statt. Änderungsanträge müssen von mindestens drei Mitgliedern des Landtags unterzeichnet werden.</w:t>
      </w:r>
    </w:p>
    <w:p>
      <w:r>
        <w:t xml:space="preserve">(3) Am Schluss der dritten Lesung wird über die Annahme oder Ablehnung des Gesetzentwurfs abgestimmt. Bei Vorliegen von Änderungsanträgen findet § 76 Absatz 3 entsprechende Anwendung. In den Fällen des Absatzes 1 trifft die Präsidentin bzw. der Präsident die nach § 46 Absatz 3 erforderlichen Feststellungen.</w:t>
      </w:r>
    </w:p>
    <w:p>
      <w:r>
        <w:rPr>
          <w:color w:val="555555"/>
          <w:sz w:val="17"/>
        </w:rPr>
        <w:t xml:space="preserve">Zitiervorschlag: § 78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