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NW_33809 (Nordrhein-Westfalen) — Änderungsanträge zu Gesetzentwürfen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Änderungsanträge zu Gesetzentwürfen können von jedem Mitglied des Landtags gestellt werden, solange die Beratung des Gegenstandes, auf den sie sich beziehen, noch nicht geschlossen ist. Die Anträge müssen schriftlich abgefasst und unterzeichnet sein.</w:t>
      </w:r>
    </w:p>
    <w:p>
      <w:r>
        <w:t xml:space="preserve">(2) Änderungsanträge zu Gesetzentwürfen sind während der ersten Lesung nicht zulässig. Erfolgt keine Ausschussüberweisung, so können Änderungsanträge erst nach Beendigung der ersten Lesung gestellt werden. Änderungsanträge in den Ausschussberatungen nach Überweisung (§ 54 Absatz 6) bleiben unberührt.</w:t>
      </w:r>
    </w:p>
    <w:p>
      <w:r>
        <w:t xml:space="preserve">(3) Änderungsanträge zu Gesetzentwürfen können verlesen werden, wenn sie noch nicht an die Mitglieder des Landtags verteilt sind. Wird durch einen Änderungsantrag der Gesetzentwurf in seinen wesentlichen Aussagen geändert, so ist dies auf Verlangen der Antragstellerin bzw. des Antragstellers kenntlich zu machen. Eine erneute Überweisung zum Zwecke der Ausschussberatung erfolgt in der Regel nicht.</w:t>
      </w:r>
    </w:p>
    <w:p>
      <w:r>
        <w:rPr>
          <w:color w:val="555555"/>
          <w:sz w:val="17"/>
        </w:rPr>
        <w:t xml:space="preserve">Zitiervorschlag: § 75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