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NW_33809 (Nordrhein-Westfalen) — Weitere Gremien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Unbeschadet des § 48 kann der Landtag andere Gremien einsetzen, wenn der Ältestenrat eine entsprechende Empfehlung beschließt.</w:t>
      </w:r>
    </w:p>
    <w:p>
      <w:r>
        <w:t xml:space="preserve">(2) Der Ältestenrat kann eine Empfehlung im Sinne des Absatzes 1 nur beschließen, wenn dies von mindestens einer Fraktion beantragt wird.</w:t>
      </w:r>
    </w:p>
    <w:p>
      <w:r>
        <w:t xml:space="preserve">(3) Der Ältestenrat berücksichtigt bei seiner Empfehlung seine Rechte aus § 10 Absatz 2. Die Empfehlung muss die Aufgabe des Gremiums genau beschreiben. Eventuell erforderliche personelle und finanzielle Ressourcen sind hierin darzustellen. Die Zusammensetzung des Gremiums bestimmt sich nach § 13.</w:t>
      </w:r>
    </w:p>
    <w:p>
      <w:r>
        <w:t xml:space="preserve">(4) Die Empfehlung des Ältestenrats bedarf zu ihrer Annahme einer Mehrheit von zwei Dritteln der anwesenden Mitglieder des Landtags.</w:t>
      </w:r>
    </w:p>
    <w:p>
      <w:r>
        <w:t xml:space="preserve">(5) Für seine Sitzungen kann das Gremium die Bestimmungen der Geschäftsordnung für Ausschüsse sinngemäß für anwendbar erklären. Die Anwendung der §§ 51, 52, 57 - 63, 67 ist jedoch ausgeschlossen.</w:t>
      </w:r>
    </w:p>
    <w:p>
      <w:r>
        <w:t xml:space="preserve">(6) Das Gremium legt der Präsidentin bzw. dem Präsidenten zur Unterrichtung des Landtags einmal jährlich einen schriftlichen Bericht über seine Tätigkeiten vor.</w:t>
      </w:r>
    </w:p>
    <w:p>
      <w:r>
        <w:rPr>
          <w:color w:val="555555"/>
          <w:sz w:val="17"/>
        </w:rPr>
        <w:t xml:space="preserve">Zitiervorschlag: § 62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https://recht.nulegal.eu/gesetze/NW_33809/62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