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NW_33809 (Nordrhein-Westfalen) — Dringliche Frage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Ausschusses ist berechtigt, Fragen von offensichtlich dringendem öffentlichem Interesse aus dem Geschäftsbereich des Ausschusses an die Landesregierung zu richten.</w:t>
      </w:r>
    </w:p>
    <w:p>
      <w:r>
        <w:t xml:space="preserve">(2) Die Vorsitzende bzw. der Vorsitzende lässt die Dringliche Frage zu, wenn die Dringlichkeit bejaht wird und die Anfrage spätestens am letzten Tag vor der Ausschusssitzung bis 9.00 Uhr eingereicht wird.</w:t>
      </w:r>
    </w:p>
    <w:p>
      <w:r>
        <w:t xml:space="preserve">(3) Dringliche Fragen werden zu Beginn der Ausschusssitzung aufgerufen. Über die Reihenfolge der Dringlichen Fragen entscheidet die bzw. der Ausschussvorsitzende.</w:t>
      </w:r>
    </w:p>
    <w:p>
      <w:r>
        <w:t xml:space="preserve">(4) Für das Verfahren gelten die Richtlinien für die Fragestunde entsprechend.</w:t>
      </w:r>
    </w:p>
    <w:p>
      <w:r>
        <w:rPr>
          <w:color w:val="555555"/>
          <w:sz w:val="17"/>
        </w:rPr>
        <w:t xml:space="preserve">Zitiervorschlag: § 59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https://recht.nulegal.eu/gesetze/NW_33809/59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