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NW_33809 (Nordrhein-Westfalen) — Bestimmung der Vorsitzenden und der Stellvertretung</w:t>
      </w:r>
    </w:p>
    <w:p>
      <w:r>
        <w:rPr>
          <w:color w:val="555555"/>
          <w:sz w:val="18"/>
        </w:rPr>
        <w:t xml:space="preserve">Geschäftsordnung des Landtags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Ältestenrat verteilt die Stellen der Ausschussvorsitzenden und ihrer Stellvertreterinnen bzw. Stellvertreter unter Zugrundelegung des jeweiligen prozentualen Stärkeverhältnisses der Fraktionen. Falls im Ältestenrat keine Einigung erzielt wird, erfolgt die Verteilung im Ältestenrat durch Zugriff in der Reihenfolge, die sich unter Zugrundelegung der Stärke der Fraktionen nach dem Verfahren d'Hondt ergibt. Die zur Benennung berechtigte Fraktion bestimmt die Vorsitzende oder den Vorsitzenden, bzw. dessen Stellvertreterin oder Stellvertreter. Die Benennung erfolgt schriftlich gegenüber der Präsidentin bzw. dem Präsidenten. Diese bzw. dieser gibt den Namen dem Landtag bekannt.</w:t>
      </w:r>
    </w:p>
    <w:p>
      <w:r>
        <w:t xml:space="preserve">(2) Im Falle der Verhinderung der bzw. des Vorsitzenden und der bzw. des stellvertretenden Vorsitzenden leitet das am längsten dem Landtag angehörende Mitglied, das bereit ist, den Vorsitz zu übernehmen, die Ausschusssitzung. Sollten mehrere Mitglieder dem Landtag gleich lang angehören, zählt das Lebensalter.</w:t>
      </w:r>
    </w:p>
    <w:p>
      <w:r>
        <w:t xml:space="preserve">(3) Die bzw. der Vorsitzende eines Ausschusses oder deren bzw. dessen Stellvertreterin</w:t>
      </w:r>
    </w:p>
    <w:p>
      <w:r>
        <w:t xml:space="preserve">oder Stellvertreter kann durch die zur Benennung berechtigte Fraktion oder mit Zweidrittelmehrheit der Mitglieder des Ausschusses abberufen werden. Ein Antrag auf Abberufung kann nur von mindestens einem Drittel des Ausschusses eingebracht werden. Bei Einvernehmen zwischen den Fraktionen kann die Abwahl frühestens 72 Stunden nach Abgabe des Antrags erfolgen, sonst nach acht Tagen. Sie erfolgt in nicht öffentlicher Sitzung in geheimer Abstimmung. Findet der Antrag eine Zweidrittelmehrheit, so ist die bzw. der Ausschussvorsitzende abberufen. Die berechtigte Fraktion hat im Falle einer Abberufung unverzüglich eine andere Vorsitzende bzw. einen anderen Vorsitzenden oder Stellvertreterin bzw. Stellvertreter gegenüber der Präsidentin bzw. dem Präsidenten schriftlich zu benennen.</w:t>
      </w:r>
    </w:p>
    <w:p>
      <w:r>
        <w:rPr>
          <w:color w:val="555555"/>
          <w:sz w:val="17"/>
        </w:rPr>
        <w:t xml:space="preserve">Zitiervorschlag: § 50 NW_33809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https://recht.nulegal.eu/gesetze/NW_33809/50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