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NW_33809 (Nordrhein-Westfalen) — Unzulässigkeit der namentlichen Abstimmung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namentliche Abstimmung ist unzulässig bei Beschlussfassung über</w:t>
      </w:r>
    </w:p>
    <w:p>
      <w:r>
        <w:t xml:space="preserve">1. Stärke eines Ausschusses,</w:t>
      </w:r>
    </w:p>
    <w:p>
      <w:r>
        <w:t xml:space="preserve">2. Überweisung an einen Ausschuss,</w:t>
      </w:r>
    </w:p>
    <w:p>
      <w:r>
        <w:t xml:space="preserve">3. Abkürzung der Fristen,</w:t>
      </w:r>
    </w:p>
    <w:p>
      <w:r>
        <w:t xml:space="preserve">4. Sitzungszeit und Tagesordnung,</w:t>
      </w:r>
    </w:p>
    <w:p>
      <w:r>
        <w:t xml:space="preserve">5. Vertagung der Sitzung,</w:t>
      </w:r>
    </w:p>
    <w:p>
      <w:r>
        <w:t xml:space="preserve">6. Vertagung oder Schluss der Beratung</w:t>
      </w:r>
    </w:p>
    <w:p>
      <w:r>
        <w:t xml:space="preserve">7. Einzelabstimmung.</w:t>
      </w:r>
    </w:p>
    <w:p>
      <w:r>
        <w:rPr>
          <w:color w:val="555555"/>
          <w:sz w:val="17"/>
        </w:rPr>
        <w:t xml:space="preserve">Zitiervorschlag: § 45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https://recht.nulegal.eu/gesetze/NW_33809/45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