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NW_33809 (Nordrhein-Westfalen) — Einzelabstimmung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Jedes Mitglied des Landtags kann Einzelabstimmung beantragen. Werden hiergegen Bedenken erhoben, so entscheidet der Landtag.</w:t>
      </w:r>
    </w:p>
    <w:p>
      <w:r>
        <w:t xml:space="preserve">(2) Eine Einzelabstimmung muss bei Anträgen von Mitgliedern des Landtags stattfinden, wenn die Antragstellerin bzw. der Antragsteller dies beantragt.</w:t>
      </w:r>
    </w:p>
    <w:p>
      <w:r>
        <w:t xml:space="preserve">(3) Unmittelbar vor der Abstimmung sind auf Verlangen die einzelnen Abstimmungstexte vorzulesen. Im Anschluss an die Einzelabstimmungen findet die Gesamtabstimmung statt.</w:t>
      </w:r>
    </w:p>
    <w:p>
      <w:r>
        <w:rPr>
          <w:color w:val="555555"/>
          <w:sz w:val="17"/>
        </w:rPr>
        <w:t xml:space="preserve">Zitiervorschlag: § 42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https://recht.nulegal.eu/gesetze/NW_33809/42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