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NW_33809 (Nordrhein-Westfalen) — Abstimmung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Schluss der Aussprache führt die Präsidentin bzw. der Präsident die Abstimmung durch und stellt das Abstimmungsergebnis fest.</w:t>
      </w:r>
    </w:p>
    <w:p>
      <w:r>
        <w:t xml:space="preserve">(2) Über die Formulierung des Abstimmungsgegenstandes kann das Wort zur Geschäftsordnung verlangt werden. Bei Widerspruch gegen den von der Präsidentin bzw. dem Präsidenten vorgeschlagenen Wortlaut der Fragestellung entscheidet der Landtag.</w:t>
      </w:r>
    </w:p>
    <w:p>
      <w:r>
        <w:t xml:space="preserve">(3) Während der Abstimmung kann das Wort nur zur Abstimmung selbst verlangt werden.</w:t>
      </w:r>
    </w:p>
    <w:p>
      <w:r>
        <w:t xml:space="preserve">(4) Im Übrigen findet § 40 Absatz 4 entsprechende Anwendung.</w:t>
      </w:r>
    </w:p>
    <w:p>
      <w:r>
        <w:rPr>
          <w:color w:val="555555"/>
          <w:sz w:val="17"/>
        </w:rPr>
        <w:t xml:space="preserve">Zitiervorschlag: § 41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