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NW_33809 (Nordrhein-Westfalen) — Wahl der Schriftführerinnen bzw. Schriftführer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Schriftführerinnen bzw. Schriftführer werden in einem Wahlgang aufgrund eines gemeinsamen Vorschlags der Fraktionen gewählt. Kommt kein gemeinsamer Vorschlag zustande, so erfolgt die Wahl nach den Grundsätzen des § 13 dieser Geschäftsordnung.</w:t>
      </w:r>
    </w:p>
    <w:p>
      <w:r>
        <w:t xml:space="preserve">II.</w:t>
      </w:r>
    </w:p>
    <w:p>
      <w:r>
        <w:t xml:space="preserve">Aufgaben der Präsidentin bzw. des Präsidenten, des Präsidiums, des Sitzungsvorstands und des Ältestenrats</w:t>
      </w:r>
    </w:p>
    <w:p>
      <w:r>
        <w:rPr>
          <w:color w:val="555555"/>
          <w:sz w:val="17"/>
        </w:rPr>
        <w:t xml:space="preserve">Zitiervorschlag: § 4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