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NW_33809 (Nordrhein-Westfalen) — Kurzinterventionen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Anschluss an einen Redebeitrag eines Mitglieds des Landtags oder eines Mitglieds der Landesregierung kann die Präsidentin bzw. der Präsident das Wort zu einer Kurzintervention pro Fraktion und Gruppe erteilen; der Redner darf hierauf noch einmal antworten. Kurzintervention und Beantwortung dürfen jeweils 60 Sekunden nicht überschreiten; sie werden auf die Redezeiten nicht angerechnet.</w:t>
      </w:r>
    </w:p>
    <w:p>
      <w:r>
        <w:t xml:space="preserve">(2) Kurzinterventionen zu Rednerinnen bzw. Rednern der eigenen Fraktion oder Gruppe sind unzulässig.</w:t>
      </w:r>
    </w:p>
    <w:p>
      <w:r>
        <w:t xml:space="preserve">(3) Je Tagesordnungspunkt sollen nicht mehr als zwei Kurzinterventionen pro Fraktion zulässig sein.</w:t>
      </w:r>
    </w:p>
    <w:p>
      <w:r>
        <w:rPr>
          <w:color w:val="555555"/>
          <w:sz w:val="17"/>
        </w:rPr>
        <w:t xml:space="preserve">Zitiervorschlag: § 35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