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NW_33809 (Nordrhein-Westfalen) — Reden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Rednerinnen bzw. Redner sollen in freier Rede sprechen. Sie können hierbei Aufzeichnungen benutzen.</w:t>
      </w:r>
    </w:p>
    <w:p>
      <w:r>
        <w:t xml:space="preserve">(2) Reden können zu Protokoll gegeben werden. Sie werden dem Plenarprotokoll als Anhang beigefügt.</w:t>
      </w:r>
    </w:p>
    <w:p>
      <w:r>
        <w:rPr>
          <w:color w:val="555555"/>
          <w:sz w:val="17"/>
        </w:rPr>
        <w:t xml:space="preserve">Zitiervorschlag: § 32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