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NW_33809 (Nordrhein-Westfalen) — Wortmeldung und Worterteilung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Landtags hat das Recht, im Landtag zu sprechen; das Wort wird durch die Präsidentin bzw. den Präsidenten erteilt. Im Rahmen des § 24 sowie des § 29 muss ihm das Wort unverzüglich erteilt werden.</w:t>
      </w:r>
    </w:p>
    <w:p>
      <w:r>
        <w:t xml:space="preserve">(2) Will sich die Präsidentin bzw. der Präsident an der Beratung beteiligen, so gibt sie bzw. er für diese Zeit die Verhandlungsleitung ab.</w:t>
      </w:r>
    </w:p>
    <w:p>
      <w:r>
        <w:t xml:space="preserve">(3) In Immunitätsangelegenheiten soll das betroffene Mitglied des Landtags das Wort zur Sache nicht erhalten.</w:t>
      </w:r>
    </w:p>
    <w:p>
      <w:r>
        <w:rPr>
          <w:color w:val="555555"/>
          <w:sz w:val="17"/>
        </w:rPr>
        <w:t xml:space="preserve">Zitiervorschlag: § 27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