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NW_33809 (Nordrhein-Westfalen) — Akteneinsicht</w:t>
      </w:r>
    </w:p>
    <w:p>
      <w:r>
        <w:rPr>
          <w:color w:val="555555"/>
          <w:sz w:val="18"/>
        </w:rPr>
        <w:t xml:space="preserve">Geschäftsordnung des Landtags Nordrhein-Westfalen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Mitglieder des Landtags sind berechtigt, alle Akten und Unterlagen einzusehen, die im Landtag geführt werden, soweit nicht gesetzliche Vorschriften, die Archiv- und Benutzungsordnung für das Archiv des Landtags NRW oder die Verschlusssachenordnung des Landtags entgegenstehen. Wird der Zugang nicht durch die Archiv- und Benutzungsordnung für das Archiv des Landtags NRW geregelt, ist ein berechtigtes Interesse darzulegen. Die Präsidentin bzw. der Präsident des Landtags kann die Einsichtnahme versagen, wenn schutzwürdige Belange betroffen sind.</w:t>
      </w:r>
    </w:p>
    <w:p>
      <w:r>
        <w:t xml:space="preserve">(2) Der Landtag Nordrhein-Westfalen unterhält gem. § 9 des Gesetzes über die Sicherung und Nutzung öffentlichen Archivguts im Lande Nordrhein-Westfalens (Archivgesetz Nordrhein-Westfalen - ArchivG NRW) ein eigenes Archiv. Die Benutzung des Archivs regelt die Archiv- und Benutzungsordnung für das Archiv des Landtags NRW. Sie ist Bestandteil der Geschäftsordnung (Anlage 2).</w:t>
      </w:r>
    </w:p>
    <w:p>
      <w:r>
        <w:t xml:space="preserve">(3) Die Akten und Unterlagen, die von einem Untersuchungsausschuss gemäß Artikel 41 der Landesverfassung beigezogen werden, können nur von den Mitgliedern des Untersuchungsausschusses eingesehen werden.</w:t>
      </w:r>
    </w:p>
    <w:p>
      <w:r>
        <w:t xml:space="preserve">(4) Der Landtag beschließt eine Verschlusssachenordnung, die Bestandteil dieser Geschäftsordnung ist (Anlage 1). Sie regelt die Behandlung aller Angelegenheiten, die durch besondere Sicherungsmaßnahmen gegen die Kenntnisnahme durch Unbefugte geschützt werden müssen.</w:t>
      </w:r>
    </w:p>
    <w:p>
      <w:r>
        <w:t xml:space="preserve">(5) Die Einsichtnahme in vertraulich zu behandelnde Ausarbeitungen des Parlamentarischen Beratungs- und Gutachterdienstes (§ 108) durch Mitglieder des Landtags oder Personen außerhalb des Landtags ist nur mit Einwilligung der Auftraggeberin bzw. des Auftraggebers zulässig.</w:t>
      </w:r>
    </w:p>
    <w:p>
      <w:r>
        <w:rPr>
          <w:color w:val="555555"/>
          <w:sz w:val="17"/>
        </w:rPr>
        <w:t xml:space="preserve">Zitiervorschlag: § 16 NW_33809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https://recht.nulegal.eu/gesetze/NW_33809/16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