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NW_33809 (Nordrhein-Westfalen) — Mutterschutz</w:t>
      </w:r>
    </w:p>
    <w:p>
      <w:r>
        <w:rPr>
          <w:color w:val="555555"/>
          <w:sz w:val="18"/>
        </w:rPr>
        <w:t xml:space="preserve">Geschäftsordnung des Landtags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In der Frist des § 3 des Mutterschutzgesetzes gilt die Abgeordnete als entschuldigt.</w:t>
      </w:r>
    </w:p>
    <w:p>
      <w:r>
        <w:rPr>
          <w:color w:val="555555"/>
          <w:sz w:val="17"/>
        </w:rPr>
        <w:t xml:space="preserve">Zitiervorschlag: § 15 NW_33809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https://recht.nulegal.eu/gesetze/NW_33809/15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