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NW_33809 (Nordrhein-Westfalen) — Teilnahme an Sitzungen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des Landtags sind verpflichtet, der Präsidentin bzw. dem Präsidenten unverzüglich anzuzeigen, wenn sie an Sitzungen des Landtags nicht teilnehmen können.</w:t>
      </w:r>
    </w:p>
    <w:p>
      <w:r>
        <w:t xml:space="preserve">(2) Während jeder Sitzung des Landtags und eines Ausschusses werden Anwesenheitslisten ausgelegt, in die sich jedes Mitglied persönlich einträgt.</w:t>
      </w:r>
    </w:p>
    <w:p>
      <w:r>
        <w:rPr>
          <w:color w:val="555555"/>
          <w:sz w:val="17"/>
        </w:rPr>
        <w:t xml:space="preserve">Zitiervorschlag: § 14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