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NW_33809 (Nordrhein-Westfalen) — Inkrafttreten und Veröffentlichung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Geschäftsordnung tritt am 1. Juni 2022 in Kraft.</w:t>
      </w:r>
    </w:p>
    <w:p>
      <w:r>
        <w:t xml:space="preserve">(2) Diese Geschäftsordnung ist im Gesetz- und Verordnungsblatt für das Land Nordrhein-Westfalen zu veröffentlichen.</w:t>
      </w:r>
    </w:p>
    <w:p>
      <w:r>
        <w:rPr>
          <w:color w:val="555555"/>
          <w:sz w:val="17"/>
        </w:rPr>
        <w:t xml:space="preserve">Zitiervorschlag: § 114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