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109 NW_33809 (Nordrhein-Westfalen) — Verteilung der Drucksachen</w:t>
      </w:r>
    </w:p>
    <w:p>
      <w:r>
        <w:rPr>
          <w:color w:val="555555"/>
          <w:sz w:val="18"/>
        </w:rPr>
        <w:t xml:space="preserve">Geschäftsordnung des Landtags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Drucksachen gelten als verteilt, wenn sie den Mitgliedern des Landtags in ihre Wohnung oder an einen von den Mitgliedern des Landtags oder dem Ältestenrat bestimmten anderen Ort zugestellt sind.</w:t>
      </w:r>
    </w:p>
    <w:p>
      <w:r>
        <w:t xml:space="preserve">(2) An einem Sitzungstag gelten die Drucksachen als zugestellt, wenn sie den Mitgliedern des Landtags auf ihre Plätze gelegt wurden.</w:t>
      </w:r>
    </w:p>
    <w:p>
      <w:r>
        <w:rPr>
          <w:color w:val="555555"/>
          <w:sz w:val="17"/>
        </w:rPr>
        <w:t xml:space="preserve">Zitiervorschlag: § 109 NW_33809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https://recht.nulegal.eu/gesetze/NW_33809/109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