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107 NW_33809 (Nordrhein-Westfalen) — Landtagsverwaltung</w:t>
      </w:r>
    </w:p>
    <w:p>
      <w:r>
        <w:rPr>
          <w:color w:val="555555"/>
          <w:sz w:val="18"/>
        </w:rPr>
        <w:t xml:space="preserve">Geschäftsordnung des Landtags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Unterstützung der Präsidentin bzw. des Präsidenten bei der Durchführung ihrer bzw. seiner Verwaltungsaufgaben, insbesondere die Vorbereitung der Sitzungen des Landtags und der Ausschüsse, die Entgegennahme von Gesetzentwürfen, Anträgen, sonstigen Vorlagen, Eingaben und anderen an den Landtag gerichteten Schriftstücken und deren vorbereitende Bearbeitung ist Aufgabe der Landtagsverwaltung.</w:t>
      </w:r>
    </w:p>
    <w:p>
      <w:r>
        <w:t xml:space="preserve">(2) Die Direktorin bzw. der Direktor beim Landtag ist die ständige Vertreterin bzw. der ständige Vertreter der Präsidentin bzw. des Präsidenten in der Verwaltung; sie bzw. er hat Zutritt zu allen Ausschusssitzungen.</w:t>
      </w:r>
    </w:p>
    <w:p>
      <w:r>
        <w:rPr>
          <w:color w:val="555555"/>
          <w:sz w:val="17"/>
        </w:rPr>
        <w:t xml:space="preserve">Zitiervorschlag: § 107 NW_33809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https://recht.nulegal.eu/gesetze/NW_33809/107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