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NW_33809 (Nordrhein-Westfalen) — Jahresbericht des Petitionsausschusses</w:t>
      </w:r>
    </w:p>
    <w:p>
      <w:r>
        <w:rPr>
          <w:color w:val="555555"/>
          <w:sz w:val="18"/>
        </w:rPr>
        <w:t xml:space="preserve">Geschäftsordnung des Landtags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Petitionsausschuss soll mindestens jährlich dem Landtag mündlich berichten.</w:t>
      </w:r>
    </w:p>
    <w:p>
      <w:r>
        <w:t xml:space="preserve">XV.</w:t>
      </w:r>
    </w:p>
    <w:p>
      <w:r>
        <w:t xml:space="preserve">Niederschrift der Beratungen und Beurkundung ihrer Ergebnisse</w:t>
      </w:r>
    </w:p>
    <w:p>
      <w:r>
        <w:rPr>
          <w:color w:val="555555"/>
          <w:sz w:val="17"/>
        </w:rPr>
        <w:t xml:space="preserve">Zitiervorschlag: § 100 NW_33809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https://recht.nulegal.eu/gesetze/NW_33809/100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