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NW_33763 (Nordrhein-Westfalen)</w:t>
      </w:r>
    </w:p>
    <w:p>
      <w:r>
        <w:rPr>
          <w:color w:val="555555"/>
          <w:sz w:val="18"/>
        </w:rPr>
        <w:t xml:space="preserve">Verordnung zur Regelung der Zuständigkeiten für die Verfolgung und Ahndung von Ordnungswidrigkeiten nach dem Nachweisgesetz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28. März 2023</w:t>
      </w:r>
    </w:p>
    <w:p>
      <w:r>
        <w:t xml:space="preserve">Auf Grund des § 36 Absatz 2 Satz 1 des Gesetzes über Ordnungswidrigkeiten in der Fassung der Bekanntmachung vom 19. Februar 1987 (BGBl. I S. 602), zuletzt geändert durch Gesetz vom 5. Oktober 2021 (BGBl. I S. 4607), verordnet die Landesregierung:</w:t>
      </w:r>
    </w:p>
    <w:p>
      <w:r>
        <w:rPr>
          <w:color w:val="555555"/>
          <w:sz w:val="17"/>
        </w:rPr>
        <w:t xml:space="preserve">Zitiervorschlag: Volltext NW_33763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https://recht.nulegal.eu/gesetze/NW_33763/volltext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