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NW_33763 (Nordrhein-Westfalen) — Zuständigkeit</w:t>
      </w:r>
    </w:p>
    <w:p>
      <w:r>
        <w:rPr>
          <w:color w:val="555555"/>
          <w:sz w:val="18"/>
        </w:rPr>
        <w:t xml:space="preserve">Verordnung zur Regelung der Zuständigkeiten für die Verfolgung und Ahndung von Ordnungswidrigkeiten nach dem Nachweisgesetz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 für die Verfolgung und Ahndung von Ordnungswidrigkeiten nach § 4 des Nachweisgesetzes vom 20. Juli 1995 (BGBl. I S. 946), zuletzt geändert durch Gesetz vom 20. Juli 2022 (BGBl. I S. 1174), sind die Bezirksregierungen.</w:t>
      </w:r>
    </w:p>
    <w:p>
      <w:r>
        <w:rPr>
          <w:color w:val="555555"/>
          <w:sz w:val="17"/>
        </w:rPr>
        <w:t xml:space="preserve">Zitiervorschlag: § 1 NW_33763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https://recht.nulegal.eu/gesetze/NW_33763/1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