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25 NW_33702 (Nordrhein-Westfalen) — Prüfungsakte</w:t>
      </w:r>
    </w:p>
    <w:p>
      <w:r>
        <w:rPr>
          <w:color w:val="555555"/>
          <w:sz w:val="18"/>
        </w:rPr>
        <w:t xml:space="preserve">Ausbildungs- und Prüfungsverordnung Bau 2.1 –VAPbD LG 2.1</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Anwärterin oder der Anwärter kann nach Abschluss des Prüfungsverfahrens innerhalb der Rechtsmittelfrist auf Antrag Einsicht in die Prüfungsakte einschließlich der Bewertungen nehmen. Die Einsichtnahme ist in der Prüfungsakte zu vermerken.</w:t>
      </w:r>
    </w:p>
    <w:p>
      <w:r>
        <w:t xml:space="preserve">(2) Nach fünf Jahren wird die Prüfungsakte vernichtet.</w:t>
      </w:r>
    </w:p>
    <w:p>
      <w:r>
        <w:rPr>
          <w:color w:val="555555"/>
          <w:sz w:val="17"/>
        </w:rPr>
        <w:t xml:space="preserve">Zitiervorschlag: § 25 NW_33702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https://recht.nulegal.eu/gesetze/NW_33702/25</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