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NW_33673 (Nordrhein-Westfalen) — Jahresrechnung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Finanzen zuständige Ministerium stellt am Schluss eines jeden Haushaltsjahres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und Verbindlichkeiten sowie die Einnahmen und Ausgaben nachzuweisen.</w:t>
      </w:r>
    </w:p>
    <w:p>
      <w:r>
        <w:t xml:space="preserve">(3) Der Landesrechnungshof prüft gemäß § 113 Satz 2 Landeshaushaltsordnung die Haushalts- und Wirtschaftsführung des Sondervermögens.</w:t>
      </w:r>
    </w:p>
    <w:p>
      <w:r>
        <w:rPr>
          <w:color w:val="555555"/>
          <w:sz w:val="17"/>
        </w:rPr>
        <w:t xml:space="preserve">Zitiervorschlag: § 7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