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NW_33672 (Nordrhein-Westfalen) — Auflösung</w:t>
      </w:r>
    </w:p>
    <w:p>
      <w:r>
        <w:rPr>
          <w:color w:val="555555"/>
          <w:sz w:val="18"/>
        </w:rPr>
        <w:t xml:space="preserve">NRW-Krisenbewältigungsgesetz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Sondervermögen kann erst nach vollständiger Tilgung durch Gesetz aufgelöst werden. Ein zum Zeitpunkt der Auflösung vorhandener Bestand fließt dem Landeshaushalt als allgemeine Deckung zu.</w:t>
      </w:r>
    </w:p>
    <w:p>
      <w:r>
        <w:rPr>
          <w:color w:val="555555"/>
          <w:sz w:val="17"/>
        </w:rPr>
        <w:t xml:space="preserve">Zitiervorschlag: § 8 NW_33672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