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NW_33655 (Nordrhein-Westfalen) — Inkrafttreten</w:t>
      </w:r>
    </w:p>
    <w:p>
      <w:r>
        <w:rPr>
          <w:color w:val="555555"/>
          <w:sz w:val="18"/>
        </w:rPr>
        <w:t xml:space="preserve">Verordnung zur Regelung der Zuständigkeit nach § 4a Absatz 2 des Bestattungsgesetzes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Verordnung tritt am Tage nach ihrer Verkündung in Kraft.</w:t>
      </w:r>
    </w:p>
    <w:p>
      <w:r>
        <w:t xml:space="preserve">Die Landesregierung Nordrhein-Westfalen</w:t>
      </w:r>
    </w:p>
    <w:p>
      <w:r>
        <w:t xml:space="preserve">Der Ministerpräsident</w:t>
      </w:r>
    </w:p>
    <w:p>
      <w:r>
        <w:t xml:space="preserve">Die Ministerin für Kinder, Jugend, Familie,</w:t>
      </w:r>
    </w:p>
    <w:p>
      <w:r>
        <w:t xml:space="preserve">Gleichstellung, Flucht und Integration</w:t>
      </w:r>
    </w:p>
    <w:p>
      <w:r>
        <w:t xml:space="preserve">Der Minister für Arbeit, Gesundheit und Soziales</w:t>
      </w:r>
    </w:p>
    <w:p>
      <w:r>
        <w:t xml:space="preserve">Der Minister</w:t>
      </w:r>
    </w:p>
    <w:p>
      <w:r>
        <w:t xml:space="preserve">für Bundes- und Europaangelegenheiten, Internationales</w:t>
      </w:r>
    </w:p>
    <w:p>
      <w:r>
        <w:t xml:space="preserve">sowie Medien und Chef der Staatskanzlei</w:t>
      </w:r>
    </w:p>
    <w:p>
      <w:r>
        <w:rPr>
          <w:color w:val="555555"/>
          <w:sz w:val="17"/>
        </w:rPr>
        <w:t xml:space="preserve">Zitiervorschlag: § 2 NW_33655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https://recht.nulegal.eu/gesetze/NW_33655/2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