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NW_33645 (Nordrhein-Westfalen)</w:t>
      </w:r>
    </w:p>
    <w:p>
      <w:r>
        <w:rPr>
          <w:color w:val="555555"/>
          <w:sz w:val="18"/>
        </w:rPr>
        <w:t xml:space="preserve">Hauptsatzung der Landesanstalt für Medien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November 2022</w:t>
      </w:r>
    </w:p>
    <w:p>
      <w:r>
        <w:t xml:space="preserve">Aufgrund der § 49 Absatz 5, § 93 Absatz 5, § 94 Absatz 6, § 97 Absatz 2, § 98 Absatz 1, 3, 5, 6 und 10, § 103 Absatz 3 des Landesmediengesetzes Nordrhein-Westfalen (LMG NRW) vom 2. Juli 2002 (GV. NRW. S. 334), von denen § 49 zuletzt durch Artikel 3 des Gesetzes vom 13. April 2022 (GV. NRW. S. 504), §§ 93 und 98 zuletzt durch Artikel 2 des Gesetzes vom 4. Mai 2021 (GV. NRW. S. 597), § 94 zuletzt durch Artikel 1 des Gesetzes vom 3. April 2020 (GV. NRW. S. 284), § 97 zuletzt durch Artikel 3 des Gesetzes vom 26. Februar 2019 (GV. NRW. S. 134), § 103 zuletzt durch Artikel 1 des 14. Rundfunkänderungsgesetzes vom 4. Juli 2014 (GV. NRW. S. 387) geändert worden sind, erlässt die Landesanstalt für Medien Nordrhein-Westfalen folgende Satzung:</w:t>
      </w:r>
    </w:p>
    <w:p>
      <w:r>
        <w:rPr>
          <w:color w:val="555555"/>
          <w:sz w:val="17"/>
        </w:rPr>
        <w:t xml:space="preserve">Zitiervorschlag: Eingangsformel NW_33645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https://recht.nulegal.eu/gesetze/NW_33645/eingangsformel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