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5 NW_33645 (Nordrhein-Westfalen) — Amtszeit</w:t>
      </w:r>
    </w:p>
    <w:p>
      <w:r>
        <w:rPr>
          <w:color w:val="555555"/>
          <w:sz w:val="18"/>
        </w:rPr>
        <w:t xml:space="preserve">Hauptsatzung der Landesanstalt für Medien Nordrhein-Westfalen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Die Amtszeit der ordentlichen Mitglieder der Medienkommission und ihrer Stellvertreterinnen und Stellvertreter nach § 96 Absatz 1 LMG NRW beginnt mit dem ersten Zusammentritt der Medienkommission und endet mit dem ersten Zusammentritt der nachfolgenden Medienkommission; dieser erfolgt in der letzten Woche der Amtszeit der vorangegangenen Medienkommission. Die/Der amtierende Vorsitzende lädt die nach § 93 Absatz 2 bis 5 entsandten oder bestimmten Personen, soweit gesetzlich vorgeschrieben, nach Durchführung des Verfahrens nach § 6 Absatz 2 bis 4, zur konstituierenden Sitzung der Medienkommission ein und leitet diese bis zur Wahl der/des neuen Vorsitzenden.</w:t>
      </w:r>
    </w:p>
    <w:p>
      <w:r>
        <w:rPr>
          <w:color w:val="555555"/>
          <w:sz w:val="17"/>
        </w:rPr>
        <w:t xml:space="preserve">Zitiervorschlag: § 5 NW_33645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https://recht.nulegal.eu/gesetze/NW_33645/5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