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NW_33645 (Nordrhein-Westfalen) — Organe</w:t>
      </w:r>
    </w:p>
    <w:p>
      <w:r>
        <w:rPr>
          <w:color w:val="555555"/>
          <w:sz w:val="18"/>
        </w:rPr>
        <w:t xml:space="preserve">Hauptsatzung der Landesanstalt für Medien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Organe der Landesanstalt für Medien Nordrhein-Westfalen sind</w:t>
      </w:r>
    </w:p>
    <w:p>
      <w:r>
        <w:t xml:space="preserve">1. die Medienkommission</w:t>
      </w:r>
    </w:p>
    <w:p>
      <w:r>
        <w:t xml:space="preserve">2. die Direktorin oder der Direktor</w:t>
      </w:r>
    </w:p>
    <w:p>
      <w:r>
        <w:rPr>
          <w:color w:val="555555"/>
          <w:sz w:val="17"/>
        </w:rPr>
        <w:t xml:space="preserve">Zitiervorschlag: § 3 NW_33645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https://recht.nulegal.eu/gesetze/NW_33645/3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