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NW_33645 (Nordrhein-Westfalen) — Inkrafttreten</w:t>
      </w:r>
    </w:p>
    <w:p>
      <w:r>
        <w:rPr>
          <w:color w:val="555555"/>
          <w:sz w:val="18"/>
        </w:rPr>
        <w:t xml:space="preserve">Hauptsatzung der Landesanstalt für Medien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Tage nach ihrer Bekanntmachung in Kraft.</w:t>
      </w:r>
    </w:p>
    <w:p>
      <w:r>
        <w:t xml:space="preserve">Gleichzeitig tritt die Hauptsatzung der Landesanstalt für Medien Nordrhein-Westfalen (LfM) vom 2. Juni 2017 (GV. NRW. S. 678), zuletzt geändert durch Satzung vom 29. Juli 2021 (GV. NRW. S. 924), außer Kraft.</w:t>
      </w:r>
    </w:p>
    <w:p>
      <w:r>
        <w:rPr>
          <w:color w:val="555555"/>
          <w:sz w:val="17"/>
        </w:rPr>
        <w:t xml:space="preserve">Zitiervorschlag: § 22 NW_33645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https://recht.nulegal.eu/gesetze/NW_33645/22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NW_33645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