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NW_33645 (Nordrhein-Westfalen) — Geschäftsordnung</w:t>
      </w:r>
    </w:p>
    <w:p>
      <w:r>
        <w:rPr>
          <w:color w:val="555555"/>
          <w:sz w:val="18"/>
        </w:rPr>
        <w:t xml:space="preserve">Hauptsatzung der Landesanstalt für Medien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Medienkommission gibt sich und ihren Ausschüssen eine Geschäftsordnung. Sie enthält insbesondere nähere Regelungen über die Rechte und Pflichten der Mitglieder der Medienkommission und ihrer/ihres Vorsitzenden sowie über die Vorbereitung und Durchführung der Sitzungen, soweit solche Regelungen nicht bereits durch Gesetz oder Satzung getroffen worden sind.</w:t>
      </w:r>
    </w:p>
    <w:p>
      <w:r>
        <w:rPr>
          <w:color w:val="555555"/>
          <w:sz w:val="17"/>
        </w:rPr>
        <w:t xml:space="preserve">Zitiervorschlag: § 20 NW_33645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https://recht.nulegal.eu/gesetze/NW_33645/20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