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NW_33645 (Nordrhein-Westfalen) — Geltungsbereich</w:t>
      </w:r>
    </w:p>
    <w:p>
      <w:r>
        <w:rPr>
          <w:color w:val="555555"/>
          <w:sz w:val="18"/>
        </w:rPr>
        <w:t xml:space="preserve">Hauptsatzung der Landesanstalt für Medien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regelt Verfahren und Zusammenarbeit der Organe nach dem LMG NRW.</w:t>
      </w:r>
    </w:p>
    <w:p>
      <w:r>
        <w:t xml:space="preserve">Verfahren und Zusammenarbeit von Organen nach dem Medienstaatsvertrag bleiben hiervon unberührt.</w:t>
      </w:r>
    </w:p>
    <w:p>
      <w:r>
        <w:rPr>
          <w:color w:val="555555"/>
          <w:sz w:val="17"/>
        </w:rPr>
        <w:t xml:space="preserve">Zitiervorschlag: § 1 NW_33645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https://recht.nulegal.eu/gesetze/NW_33645/1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