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NW_33638 (Nordrhein-Westfalen) — Abweichende Bestimmung des Beginns der Aufbewahrungs- und Speicherungsfrist</w:t>
      </w:r>
    </w:p>
    <w:p>
      <w:r>
        <w:rPr>
          <w:color w:val="555555"/>
          <w:sz w:val="18"/>
        </w:rPr>
        <w:t xml:space="preserve">Aufbewahrungsverordnung der Justiz Nordrhein-Westfalen AufbewJustVO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Leitung der für die Aktenaufbewahrung oder -speicherung zuständigen Stelle kann anordnen, dass die Aufbewahrungs- und Speicherungsfrist allgemein oder für einzelne Angelegenheiten abweichend von § 4 unmittelbar mit dem Ereignis beginnt, das dem Fristbeginn zugrunde liegt. Die Anordnung ist zu dokumentieren. Sie kann auch von einer übergeordneten Stelle erlassen werden.</w:t>
      </w:r>
    </w:p>
    <w:p>
      <w:r>
        <w:rPr>
          <w:color w:val="555555"/>
          <w:sz w:val="17"/>
        </w:rPr>
        <w:t xml:space="preserve">Zitiervorschlag: § 5 NW_33638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