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NW_33638 (Nordrhein-Westfalen) — Beginn der Aufbewahrungs- und Speicherungsfristen</w:t>
      </w:r>
    </w:p>
    <w:p>
      <w:r>
        <w:rPr>
          <w:color w:val="555555"/>
          <w:sz w:val="18"/>
        </w:rPr>
        <w:t xml:space="preserve">Aufbewahrungsverordnung der Justiz Nordrhein-Westfalen AufbewJustVO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Aufbewahrungs- und Speicherfrist beginnt mit Ablauf des Jahres, in dem die Weglegung der Akten angeordnet wurde. Für Personalakten beginnt sie mit deren Abschluss.</w:t>
      </w:r>
    </w:p>
    <w:p>
      <w:r>
        <w:t xml:space="preserve">(2) Als Jahr der Weglegung gilt</w:t>
      </w:r>
    </w:p>
    <w:p>
      <w:r>
        <w:t xml:space="preserve">1. bei Prüfungsarbeiten und sonstigen Prüfungsunterlagen das Jahr, in dem die Bekanntgabe des Prüfungsergebnisses an den Prüfling erfolgt ist, im Falle der Wiederholungsprüfung das Jahr, in dem das Ergebnis der letzten Prüfung bekannt gegeben worden ist,</w:t>
      </w:r>
    </w:p>
    <w:p>
      <w:r>
        <w:t xml:space="preserve">2. bei Hinterlegungen das Jahr, in dem die Hinterlegung beendet worden ist oder die nach dem Hinterlegungsgesetz Nordrhein-Westfalen vom 16. März 2010 (GV. NRW. S. 192) in der jeweils geltenden Fassung zu beachtenden Fristen abgelaufen sind;</w:t>
      </w:r>
    </w:p>
    <w:p>
      <w:r>
        <w:t xml:space="preserve">3. bei Büchern über Urkundenverwahrungen nach Nummer 1.1.10 des Abschnitts 1 der Anlage zu dieser Verordnung das Jahr, in dem alle darin verzeichneten Fälle erledigt sind,</w:t>
      </w:r>
    </w:p>
    <w:p>
      <w:r>
        <w:t xml:space="preserve">4. bei Gefangenen- und Untergebrachtenbüchern mit den dazugehörigen Gefangenen- und Untergebrachtenkarteien und bei den Listen über die den Gefangenen und Untergebrachten abgenommenen Gegenstände sowie bei Büchern und Nachweisen über die den Gefangenen und Untergebrachten abgenommenen Geldern das Jahr, in dem der Vollzug bezüglich aller der darin aufgeführten Gefangenen und Untergebrachten beendet ist,</w:t>
      </w:r>
    </w:p>
    <w:p>
      <w:r>
        <w:t xml:space="preserve">5. für Sammelakten und Akten mit den Unterlagen über die Wahl, Ernennung, Berufung oder Bestellung und Heranziehung ehrenamtlicher Richterinnen und Richter das Jahr des Ablaufs der jeweiligen Wahl- beziehungsweise Amtsperiode und</w:t>
      </w:r>
    </w:p>
    <w:p>
      <w:r>
        <w:t xml:space="preserve">6. für Akten über sonstige Angelegenheiten, für die die Weglegung nicht durch besondere Vorschrift geregelt ist, das Jahr, in dem die letzte Verfügung zur Sache ergangen ist.</w:t>
      </w:r>
    </w:p>
    <w:p>
      <w:r>
        <w:t xml:space="preserve">(3) Personalakten von Notarinnen und Notaren sowie Notarassessorinnen und Notarassessoren sind abgeschlossen, im Fall</w:t>
      </w:r>
    </w:p>
    <w:p>
      <w:r>
        <w:t xml:space="preserve">1. des Ausscheidens aus dem Amt oder dem Beruf mit Ablauf des Jahres der Vollendung des 70. Lebensjahres,</w:t>
      </w:r>
    </w:p>
    <w:p>
      <w:r>
        <w:t xml:space="preserve">2. der Tätigkeit über das 70. Lebensjahr hinaus mit Ablauf des Jahres, in dem das Amts- oder Berufsverhältnis endet,</w:t>
      </w:r>
    </w:p>
    <w:p>
      <w:r>
        <w:t xml:space="preserve">3. des vorherigen Todes mit Ablauf des Todesjahres und</w:t>
      </w:r>
    </w:p>
    <w:p>
      <w:r>
        <w:t xml:space="preserve">4. einer Notariatsverwalterschaft nach § 56 Bundesnotarordnung nach deren Abwicklung.</w:t>
      </w:r>
    </w:p>
    <w:p>
      <w:r>
        <w:t xml:space="preserve">(4) Für Akten, die nach einem wieder aufgenommenen oder fortgesetzten Verfahren erneut weggelegt werden, beginnt mit Ablauf des Jahres der erneuten Weglegung eine neue Aufbewahrungs- und Speicherungsfrist.</w:t>
      </w:r>
    </w:p>
    <w:p>
      <w:r>
        <w:t xml:space="preserve">(5) Beträgt die Aufbewahrungs- und Speicherungsfrist weniger als ein Jahr, beginnt sie abweichend von Absatz 1 mit Ablauf des Monats, in dem die Weglegung der Akten angeordnet wurde oder die letzte Verfügung zur Sache ergangen ist. Absatz 5 gilt mit der Maßgabe, dass die neue Aufbewahrungs- und Speicherungsfrist mit Ablauf des Monats der erneuten Weglegung beginnt.</w:t>
      </w:r>
    </w:p>
    <w:p>
      <w:r>
        <w:rPr>
          <w:color w:val="555555"/>
          <w:sz w:val="17"/>
        </w:rPr>
        <w:t xml:space="preserve">Zitiervorschlag: § 4 NW_33638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https://recht.nulegal.eu/gesetze/NW_33638/4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