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NW_33638 (Nordrhein-Westfalen) — Anwendungsbereich</w:t>
      </w:r>
    </w:p>
    <w:p>
      <w:r>
        <w:rPr>
          <w:color w:val="555555"/>
          <w:sz w:val="18"/>
        </w:rPr>
        <w:t xml:space="preserve">Aufbewahrungsverordnung der Justiz Nordrhein-Westfalen AufbewJustVO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regelt die Aufbewahrung und Speicherung der Akten, Aktenregister, Karteien und Verzeichnisse</w:t>
      </w:r>
    </w:p>
    <w:p>
      <w:r>
        <w:t xml:space="preserve">1. in Verwaltungssachen der Gerichte, Staatsanwaltschaften, Justizvollzugseinrichtungen, Aus- und Fortbildungseinrichtungen und des für die Justiz zuständigen Ministeriums,</w:t>
      </w:r>
    </w:p>
    <w:p>
      <w:r>
        <w:t xml:space="preserve">2. in Rechtssachen der Gerichte und Staatsanwaltschaften, die auf Landesrecht beruhen,</w:t>
      </w:r>
    </w:p>
    <w:p>
      <w:r>
        <w:t xml:space="preserve">die für das Verfahren nicht mehr erforderlich sind, und die hierbei zu beachtenden Aufbewahrungs- und Speicherungsfristen. Die Aufbewahrungs- und Speicherungsfristen der Akten, Aktenregister, Karteien, Namens- und sonstigen Verzeichnisse der Gerichte und Staatsanwaltschaften in Rechtssachen im Übrigen bestimmen sich nach der Justizaktenaufbewahrungsverordnung vom 8. November 2021 (BGBl. I S. 4834).</w:t>
      </w:r>
    </w:p>
    <w:p>
      <w:r>
        <w:t xml:space="preserve">(2) Die Bestimmungen dieser Verordnung finden auch Anwendung, wenn Schriftgut zur Ersetzung der Urschrift als Wiedergabe auf einem Bildträger, auf anderen Datenträgern oder in elektronisch geführten Akten aufbewahrt wird, soweit nichts abweichend geregelt ist.</w:t>
      </w:r>
    </w:p>
    <w:p>
      <w:r>
        <w:t xml:space="preserve">(3) Für die Akten, Aktenregister, Karteien, Namens- und sonstige Verzeichnisse deren Aufbewahrungs- und Speicherungsfrist zum Zeitpunkt des Inkrafttretens der Justizaktenaufbewahrungsverordnung bereits begonnen hatte, gelten die bisherigen landesrechtlichen Regelungen der Verordnung über die Aufbewahrung von Schriftgut in der Justiz und Justizverwaltung des Landes Nordrhein-Westfalen vom 6. Mai 2008 (GV. NRW. S. 404), die zuletzt durch Verordnung vom 14. November 2014</w:t>
      </w:r>
    </w:p>
    <w:p>
      <w:r>
        <w:t xml:space="preserve">(GV. NRW. S. 766) geändert worden ist, fort.</w:t>
      </w:r>
    </w:p>
    <w:p>
      <w:r>
        <w:rPr>
          <w:color w:val="555555"/>
          <w:sz w:val="17"/>
        </w:rPr>
        <w:t xml:space="preserve">Zitiervorschlag: § 1 NW_33638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