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NW_33636 (Nordrhein-Westfalen) — Unterweisungsinhalte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 Unterweisung richtet sich nach dem Ausbildungsrahmenplan gemäß der Anlage zu dieser Verordnung.</w:t>
      </w:r>
    </w:p>
    <w:p>
      <w:r>
        <w:t xml:space="preserve">(2) Die Ausbildungsleitung legt im Einvernehmen mit den Ausbildungsstellen gemäß § 4 Absatz 2 die Reihenfolge der Lehrgangsabschnitte für die Auszubildenden im Voraus fest. Aus Gründen einer sachgerechten Ausbildung kann davon abgewichen werden.</w:t>
      </w:r>
    </w:p>
    <w:p>
      <w:r>
        <w:t xml:space="preserve">(3) Die Auszubildenden sind in typische Arbeitsvorgänge einzuführen. Ihnen ist Gelegenheit zu geben, Vorgänge möglichst selbstständig zu bearbeiten. Die Auszubildenden sollen auch an Dienstbesprechungen teilnehmen.</w:t>
      </w:r>
    </w:p>
    <w:p>
      <w:r>
        <w:rPr>
          <w:color w:val="555555"/>
          <w:sz w:val="17"/>
        </w:rPr>
        <w:t xml:space="preserve">Zitiervorschlag: § 9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