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NW_33615 (Nordrhein-Westfalen) — Amtstracht</w:t>
      </w:r>
    </w:p>
    <w:p>
      <w:r>
        <w:rPr>
          <w:color w:val="555555"/>
          <w:sz w:val="18"/>
        </w:rPr>
        <w:t xml:space="preserve">Geschäftsordnung des Verfassungsgerichtshofs für das Land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Mitglieder des Verfassungsgerichtshofs tragen in öffentlicher Sitzung die von ihnen beschlossene Amtstracht.</w:t>
      </w:r>
    </w:p>
    <w:p>
      <w:r>
        <w:t xml:space="preserve">(2) Rechtsanwältinnen und Rechtsanwälte tragen ihre Amtstracht.</w:t>
      </w:r>
    </w:p>
    <w:p>
      <w:r>
        <w:rPr>
          <w:color w:val="555555"/>
          <w:sz w:val="17"/>
        </w:rPr>
        <w:t xml:space="preserve">Zitiervorschlag: § 8 NW_33615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https://recht.nulegal.eu/gesetze/NW_33615/8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