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NW_33615 (Nordrhein-Westfalen) — Inkrafttreten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Geschäftsordnung tritt am Tag nach der Veröffentlichung in Kraft. Gleichzeitig tritt die Geschäftsordnung vom 23. Oktober 2018 (GV. NRW. S. 584) außer Kraft.</w:t>
      </w:r>
    </w:p>
    <w:p>
      <w:r>
        <w:t xml:space="preserve">Münster, den 18. Oktober 2022</w:t>
      </w:r>
    </w:p>
    <w:p>
      <w:r>
        <w:t xml:space="preserve">Prof. Dr. D a u n e r-L i e b</w:t>
      </w:r>
    </w:p>
    <w:p>
      <w:r>
        <w:t xml:space="preserve">Prof. Dr. H e u s c h</w:t>
      </w:r>
    </w:p>
    <w:p>
      <w:r>
        <w:t xml:space="preserve">Dr. G i l b e r g</w:t>
      </w:r>
    </w:p>
    <w:p>
      <w:r>
        <w:t xml:space="preserve">Prof. Dr. G r z e s z i c k</w:t>
      </w:r>
    </w:p>
    <w:p>
      <w:r>
        <w:t xml:space="preserve">Dr. N e d d e n-B o e g e r</w:t>
      </w:r>
    </w:p>
    <w:p>
      <w:r>
        <w:t xml:space="preserve">Dr. R ö h l</w:t>
      </w:r>
    </w:p>
    <w:p>
      <w:r>
        <w:t xml:space="preserve">Prof. Dr. W i e l a n d</w:t>
      </w:r>
    </w:p>
    <w:p>
      <w:r>
        <w:rPr>
          <w:color w:val="555555"/>
          <w:sz w:val="17"/>
        </w:rPr>
        <w:t xml:space="preserve">Zitiervorschlag: § 24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